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Style w:val="cat-UserDefinedgrp-25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 находящийся по адресу: ХМАО-Югра, г. Сургут, ул. Гагарина, д. 9, каб. </w:t>
      </w:r>
      <w:r>
        <w:rPr>
          <w:rFonts w:ascii="Times New Roman" w:eastAsia="Times New Roman" w:hAnsi="Times New Roman" w:cs="Times New Roman"/>
          <w:sz w:val="26"/>
          <w:szCs w:val="26"/>
        </w:rPr>
        <w:t>509, 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материалы дела об административном правонарушении, предусмотренном частью 2 статьи 15.33 Кодекса Российской Федерации об административных правонарушениях, в отношении должностного лица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Горшков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установил: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Горшков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19rplc-1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находящегося по адресу: 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 в Филиал № 2 ГУ регионального отделения Фонда социального страхования Российской Федерации по ХМАО-Югре в установленный законодательством срок до 25.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сведения о начисленных страховых взносах в составе единой формы сведений (Форма – ЕФС-1) за </w:t>
      </w:r>
      <w:r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года, чем нарушил ст. 17,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фактически, отчетность представлена только </w:t>
      </w:r>
      <w:r>
        <w:rPr>
          <w:rFonts w:ascii="Times New Roman" w:eastAsia="Times New Roman" w:hAnsi="Times New Roman" w:cs="Times New Roman"/>
          <w:sz w:val="26"/>
          <w:szCs w:val="26"/>
        </w:rPr>
        <w:t>27.11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Горшков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вину в совершенном правонарушении признал, пояснил, что отчет был направлен вовремя, однако в связи со сбоем в программном обеспечении во время не был отправлен.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представленные материалы дела,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Горшкова С.А., </w:t>
      </w:r>
      <w:r>
        <w:rPr>
          <w:rFonts w:ascii="Times New Roman" w:eastAsia="Times New Roman" w:hAnsi="Times New Roman" w:cs="Times New Roman"/>
          <w:sz w:val="26"/>
          <w:szCs w:val="26"/>
        </w:rPr>
        <w:t>суд приходит к выводу о доказанности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Горшкова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частью 2 статьи 15.33 Кодекса РФ об административных правонарушениях, установленной, что подтверждается следующими доказательствами: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№ </w:t>
      </w:r>
      <w:r>
        <w:rPr>
          <w:rStyle w:val="cat-UserDefinedgrp-2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Горшков С.А.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OrganizationNamegrp-19rplc-3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находящегося по адресу: </w:t>
      </w:r>
      <w:r>
        <w:rPr>
          <w:rStyle w:val="cat-UserDefinedgrp-2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 в Филиал № 2 ГУ регионального отделения Фонда социального страхования Российской Федерации по ХМАО-Югре в установленный законодательством срок до 25.10.2023, сведения о начисленных страховых взносах в составе единой формы сведений (Форма – ЕФС-1) за 9 месяцев 2023 года, чем нарушил ст. 17,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фактически, отчетность представлена только 27.11.2023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дениями о получении Фондом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27.11.2023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государственного реестра юридических лиц;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 другими материалами дела.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 1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keepNext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судом не установлены.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Частью 1 статьи 4.1.1 КоАП РФ установлено,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названного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названного Кодекса, за исключением случаев, предусмотренных частью 2 названной статьи.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свою очередь, согласно части 2 статьи 3.4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учетом взаимосвязанных положений части 2 статьи 3.4 и части 1 статьи 4.1.1 КоАП РФ возможность замены наказания в виде административного штрафа предупреждением допускается при наличии следующей совокупности обстоятельств: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отнесение лица, совершившего административное правонарушение к субъектам малого и среднего предпринимательства;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совершение административного правонарушения впервые;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отсутствие причинения вреда или возникновения угрозы причинения вреда жизни и здоровью людей, а также иным объектам, перечисленным в части 2 статьи 3.4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Горшов С.А.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работником </w:t>
      </w:r>
      <w:r>
        <w:rPr>
          <w:rStyle w:val="cat-OrganizationNamegrp-19rplc-4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которое включено в Единый государственный реестр субъектов малого и среднего предпринимательства, относится к категории микропредприятий, административное правонарушение должностным лицом совершило впервые при отсутствии отягчающих административную ответственность обстоятельств, а также обстоятельств, предусмотренных ч. 2 ст. 3.4 КоАП РФ, а именно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отсутствие имущественного ущерба. С учетом характера и степени общественной опасности, принимая во внимание характер совершенного правонарушения и роль лица, привлекаемого к административной ответственности, с целью вынесения справедливого и соразмерного административного наказания, суд считает возможным в соответствии со ст. 4.1.1 КоАП РФ заменить административное наказание в виде штрафа на предупреждение.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Назначение наказания в виде предупреждения будет соответствовать как интересам лица, привлекаемого к ответственности, так и интересам государства, факт привлечения лица к административной ответственности уже выполняет предупредительную функцию.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Горшкова Сергея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по ч. </w:t>
      </w:r>
      <w:r>
        <w:rPr>
          <w:rFonts w:ascii="Times New Roman" w:eastAsia="Times New Roman" w:hAnsi="Times New Roman" w:cs="Times New Roman"/>
          <w:sz w:val="26"/>
          <w:szCs w:val="26"/>
        </w:rPr>
        <w:t>2 ст. 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и назначить ему административное наказание в виде предупреждения.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rPr>
          <w:sz w:val="26"/>
          <w:szCs w:val="26"/>
        </w:rPr>
      </w:pPr>
    </w:p>
    <w:p>
      <w:pPr>
        <w:spacing w:before="0" w:after="0"/>
        <w:ind w:firstLine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 Зиннурова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Style w:val="cat-UserDefinedgrp-29rplc-4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0">
    <w:name w:val="cat-UserDefined grp-25 rplc-0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OrganizationNamegrp-19rplc-18">
    <w:name w:val="cat-OrganizationName grp-19 rplc-18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OrganizationNamegrp-19rplc-31">
    <w:name w:val="cat-OrganizationName grp-19 rplc-31"/>
    <w:basedOn w:val="DefaultParagraphFont"/>
  </w:style>
  <w:style w:type="character" w:customStyle="1" w:styleId="cat-UserDefinedgrp-27rplc-32">
    <w:name w:val="cat-UserDefined grp-27 rplc-32"/>
    <w:basedOn w:val="DefaultParagraphFont"/>
  </w:style>
  <w:style w:type="character" w:customStyle="1" w:styleId="cat-OrganizationNamegrp-19rplc-41">
    <w:name w:val="cat-OrganizationName grp-19 rplc-41"/>
    <w:basedOn w:val="DefaultParagraphFont"/>
  </w:style>
  <w:style w:type="character" w:customStyle="1" w:styleId="cat-UserDefinedgrp-29rplc-45">
    <w:name w:val="cat-UserDefined grp-2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